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2605"/>
        <w:gridCol w:w="3261"/>
      </w:tblGrid>
      <w:tr w:rsidR="00430EEE" w:rsidRPr="00566AD8" w:rsidTr="000B3D82">
        <w:trPr>
          <w:trHeight w:val="1815"/>
        </w:trPr>
        <w:tc>
          <w:tcPr>
            <w:tcW w:w="9357" w:type="dxa"/>
            <w:gridSpan w:val="3"/>
          </w:tcPr>
          <w:p w:rsidR="00430EEE" w:rsidRDefault="00430EEE" w:rsidP="000B3D82">
            <w:pPr>
              <w:rPr>
                <w:sz w:val="28"/>
                <w:szCs w:val="20"/>
              </w:rPr>
            </w:pPr>
          </w:p>
          <w:p w:rsidR="00430EEE" w:rsidRPr="004C7E2B" w:rsidRDefault="00430EEE" w:rsidP="000B3D82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05AC2B" wp14:editId="21AAA48C">
                  <wp:simplePos x="0" y="0"/>
                  <wp:positionH relativeFrom="column">
                    <wp:posOffset>5250180</wp:posOffset>
                  </wp:positionH>
                  <wp:positionV relativeFrom="paragraph">
                    <wp:posOffset>-5080</wp:posOffset>
                  </wp:positionV>
                  <wp:extent cx="498475" cy="498475"/>
                  <wp:effectExtent l="0" t="0" r="0" b="0"/>
                  <wp:wrapNone/>
                  <wp:docPr id="10" name="Obrázek 13" descr="certifik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certifik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7747CE" wp14:editId="3D0A857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-26035</wp:posOffset>
                  </wp:positionV>
                  <wp:extent cx="1321435" cy="567055"/>
                  <wp:effectExtent l="0" t="0" r="0" b="4445"/>
                  <wp:wrapNone/>
                  <wp:docPr id="9" name="Obrázek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7E2B">
              <w:rPr>
                <w:rFonts w:ascii="Bookman Old Style" w:hAnsi="Bookman Old Style"/>
                <w:b/>
                <w:bCs/>
                <w:sz w:val="28"/>
                <w:szCs w:val="28"/>
              </w:rPr>
              <w:tab/>
            </w:r>
          </w:p>
          <w:p w:rsidR="00430EEE" w:rsidRPr="004C7E2B" w:rsidRDefault="00430EEE" w:rsidP="000B3D82">
            <w:pPr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</w:p>
          <w:p w:rsidR="00430EEE" w:rsidRPr="004C7E2B" w:rsidRDefault="00430EEE" w:rsidP="000B3D82">
            <w:pPr>
              <w:jc w:val="center"/>
              <w:rPr>
                <w:b/>
                <w:bCs/>
              </w:rPr>
            </w:pPr>
            <w:r w:rsidRPr="004C7E2B">
              <w:rPr>
                <w:b/>
                <w:bCs/>
              </w:rPr>
              <w:t xml:space="preserve">               Nemocnice TGM Hodonín, příspěvková organizace</w:t>
            </w:r>
          </w:p>
          <w:p w:rsidR="00430EEE" w:rsidRPr="004C7E2B" w:rsidRDefault="00430EEE" w:rsidP="000B3D82">
            <w:pPr>
              <w:jc w:val="center"/>
            </w:pPr>
            <w:r w:rsidRPr="004C7E2B">
              <w:t xml:space="preserve">                     Purkyňova 11, 695 26 Hodonín </w:t>
            </w:r>
          </w:p>
          <w:p w:rsidR="00430EEE" w:rsidRDefault="00430EEE" w:rsidP="000B3D82">
            <w:pPr>
              <w:jc w:val="center"/>
              <w:rPr>
                <w:sz w:val="20"/>
                <w:szCs w:val="20"/>
              </w:rPr>
            </w:pPr>
            <w:r w:rsidRPr="004C7E2B">
              <w:t xml:space="preserve">                 </w:t>
            </w:r>
            <w:r w:rsidRPr="004C7E2B">
              <w:rPr>
                <w:sz w:val="20"/>
                <w:szCs w:val="20"/>
              </w:rPr>
              <w:t xml:space="preserve">Zapsána v OR u Krajského soudu v Brně, oddíl </w:t>
            </w:r>
            <w:proofErr w:type="spellStart"/>
            <w:r w:rsidRPr="004C7E2B">
              <w:rPr>
                <w:sz w:val="20"/>
                <w:szCs w:val="20"/>
              </w:rPr>
              <w:t>Pr</w:t>
            </w:r>
            <w:proofErr w:type="spellEnd"/>
            <w:r w:rsidRPr="004C7E2B">
              <w:rPr>
                <w:sz w:val="20"/>
                <w:szCs w:val="20"/>
              </w:rPr>
              <w:t>, vložka 1228</w:t>
            </w:r>
          </w:p>
          <w:p w:rsidR="00430EEE" w:rsidRPr="004C7E2B" w:rsidRDefault="00430EEE" w:rsidP="000B3D82">
            <w:pPr>
              <w:jc w:val="center"/>
              <w:rPr>
                <w:sz w:val="20"/>
                <w:szCs w:val="20"/>
              </w:rPr>
            </w:pPr>
          </w:p>
        </w:tc>
      </w:tr>
      <w:tr w:rsidR="00430EEE" w:rsidRPr="00566AD8" w:rsidTr="000B3D82">
        <w:trPr>
          <w:cantSplit/>
          <w:trHeight w:val="1200"/>
        </w:trPr>
        <w:tc>
          <w:tcPr>
            <w:tcW w:w="9357" w:type="dxa"/>
            <w:gridSpan w:val="3"/>
          </w:tcPr>
          <w:p w:rsidR="00430EEE" w:rsidRPr="00E92FB3" w:rsidRDefault="00430EEE" w:rsidP="000B3D82">
            <w:pPr>
              <w:keepNext/>
              <w:jc w:val="both"/>
              <w:outlineLvl w:val="6"/>
              <w:rPr>
                <w:b/>
                <w:szCs w:val="20"/>
              </w:rPr>
            </w:pPr>
          </w:p>
          <w:p w:rsidR="00430EEE" w:rsidRPr="00E92FB3" w:rsidRDefault="00430EEE" w:rsidP="005609B3">
            <w:pPr>
              <w:rPr>
                <w:b/>
                <w:sz w:val="32"/>
                <w:szCs w:val="32"/>
              </w:rPr>
            </w:pPr>
            <w:r w:rsidRPr="00E92FB3">
              <w:rPr>
                <w:b/>
                <w:szCs w:val="20"/>
              </w:rPr>
              <w:t xml:space="preserve">                                             </w:t>
            </w:r>
            <w:r w:rsidRPr="00E92FB3">
              <w:rPr>
                <w:b/>
                <w:sz w:val="32"/>
                <w:szCs w:val="32"/>
              </w:rPr>
              <w:t xml:space="preserve">Směrnice ředitele č. </w:t>
            </w:r>
            <w:r w:rsidR="005609B3">
              <w:rPr>
                <w:b/>
                <w:sz w:val="32"/>
                <w:szCs w:val="32"/>
              </w:rPr>
              <w:t>7</w:t>
            </w:r>
            <w:r w:rsidRPr="00E92FB3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430EEE" w:rsidRPr="00566AD8" w:rsidTr="000B3D82">
        <w:trPr>
          <w:trHeight w:val="6865"/>
        </w:trPr>
        <w:tc>
          <w:tcPr>
            <w:tcW w:w="9357" w:type="dxa"/>
            <w:gridSpan w:val="3"/>
          </w:tcPr>
          <w:p w:rsidR="00430EEE" w:rsidRPr="00E92FB3" w:rsidRDefault="00430EEE" w:rsidP="000B3D82">
            <w:pPr>
              <w:rPr>
                <w:szCs w:val="20"/>
              </w:rPr>
            </w:pPr>
          </w:p>
          <w:p w:rsidR="00430EEE" w:rsidRDefault="00430EEE" w:rsidP="000B3D82">
            <w:pPr>
              <w:rPr>
                <w:szCs w:val="20"/>
              </w:rPr>
            </w:pPr>
          </w:p>
          <w:p w:rsidR="00430EEE" w:rsidRDefault="00430EEE" w:rsidP="000B3D82">
            <w:pPr>
              <w:rPr>
                <w:szCs w:val="20"/>
              </w:rPr>
            </w:pPr>
          </w:p>
          <w:p w:rsidR="00430EEE" w:rsidRPr="00E92FB3" w:rsidRDefault="00430EEE" w:rsidP="000B3D82">
            <w:pPr>
              <w:rPr>
                <w:szCs w:val="20"/>
              </w:rPr>
            </w:pPr>
          </w:p>
          <w:p w:rsidR="00430EEE" w:rsidRPr="00E07001" w:rsidRDefault="005609B3" w:rsidP="00430E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Pravidla pro vyřizování stížností</w:t>
            </w:r>
          </w:p>
          <w:p w:rsidR="00430EEE" w:rsidRDefault="00430EEE" w:rsidP="00430EEE"/>
          <w:p w:rsidR="00430EEE" w:rsidRPr="00430EEE" w:rsidRDefault="00430EEE" w:rsidP="00430EEE">
            <w:r>
              <w:t xml:space="preserve">                </w:t>
            </w:r>
          </w:p>
          <w:p w:rsidR="00430EEE" w:rsidRPr="00E92FB3" w:rsidRDefault="00430EEE" w:rsidP="000B3D82">
            <w:pPr>
              <w:keepNext/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30EEE" w:rsidRPr="00E92FB3" w:rsidRDefault="00430EEE" w:rsidP="000B3D82">
            <w:pPr>
              <w:jc w:val="center"/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Default="00430EEE" w:rsidP="000B3D82">
            <w:pPr>
              <w:rPr>
                <w:sz w:val="20"/>
                <w:szCs w:val="20"/>
              </w:rPr>
            </w:pPr>
          </w:p>
          <w:p w:rsidR="001C35AF" w:rsidRPr="00E92FB3" w:rsidRDefault="001C35AF" w:rsidP="000B3D82">
            <w:pPr>
              <w:rPr>
                <w:sz w:val="20"/>
                <w:szCs w:val="20"/>
              </w:rPr>
            </w:pPr>
          </w:p>
          <w:p w:rsidR="00430EEE" w:rsidRPr="00566AD8" w:rsidRDefault="00430EEE" w:rsidP="000B3D82"/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ind w:left="360"/>
            </w:pPr>
          </w:p>
          <w:p w:rsidR="00430EEE" w:rsidRPr="00E92FB3" w:rsidRDefault="00430EEE" w:rsidP="000B3D82"/>
        </w:tc>
      </w:tr>
      <w:tr w:rsidR="00430EEE" w:rsidRPr="00566AD8" w:rsidTr="000B3D82">
        <w:trPr>
          <w:trHeight w:val="1020"/>
        </w:trPr>
        <w:tc>
          <w:tcPr>
            <w:tcW w:w="6096" w:type="dxa"/>
            <w:gridSpan w:val="2"/>
          </w:tcPr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 xml:space="preserve">Datum účinnosti:                                        </w:t>
            </w:r>
          </w:p>
          <w:p w:rsidR="00430EEE" w:rsidRPr="00E92FB3" w:rsidRDefault="00430EEE" w:rsidP="000B3D82">
            <w:pPr>
              <w:rPr>
                <w:b/>
                <w:szCs w:val="20"/>
              </w:rPr>
            </w:pPr>
          </w:p>
          <w:p w:rsidR="00430EEE" w:rsidRPr="00E92FB3" w:rsidRDefault="00430EEE" w:rsidP="000B3D82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           1. </w:t>
            </w:r>
            <w:r w:rsidR="005609B3">
              <w:rPr>
                <w:szCs w:val="20"/>
              </w:rPr>
              <w:t>4</w:t>
            </w:r>
            <w:r w:rsidRPr="00E92FB3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E92FB3">
              <w:rPr>
                <w:szCs w:val="20"/>
              </w:rPr>
              <w:t>201</w:t>
            </w:r>
            <w:r>
              <w:rPr>
                <w:szCs w:val="20"/>
              </w:rPr>
              <w:t>4</w:t>
            </w:r>
          </w:p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 xml:space="preserve">                </w:t>
            </w:r>
          </w:p>
        </w:tc>
        <w:tc>
          <w:tcPr>
            <w:tcW w:w="3261" w:type="dxa"/>
          </w:tcPr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 xml:space="preserve">Výtisk </w:t>
            </w:r>
            <w:proofErr w:type="gramStart"/>
            <w:r w:rsidRPr="00E92FB3">
              <w:rPr>
                <w:b/>
                <w:szCs w:val="20"/>
              </w:rPr>
              <w:t>č.         1</w:t>
            </w:r>
            <w:proofErr w:type="gramEnd"/>
          </w:p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 xml:space="preserve">Počet listů  :   </w:t>
            </w:r>
            <w:r w:rsidR="00C00FF9">
              <w:rPr>
                <w:b/>
                <w:szCs w:val="20"/>
              </w:rPr>
              <w:t>4</w:t>
            </w:r>
          </w:p>
          <w:p w:rsidR="00430EEE" w:rsidRPr="00E92FB3" w:rsidRDefault="00430EEE" w:rsidP="005609B3">
            <w:pPr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 xml:space="preserve">Vydání       :   </w:t>
            </w:r>
            <w:r w:rsidR="005609B3">
              <w:rPr>
                <w:b/>
                <w:szCs w:val="20"/>
              </w:rPr>
              <w:t>2</w:t>
            </w:r>
            <w:proofErr w:type="gramEnd"/>
          </w:p>
        </w:tc>
      </w:tr>
      <w:tr w:rsidR="00430EEE" w:rsidRPr="00566AD8" w:rsidTr="000B3D82">
        <w:trPr>
          <w:trHeight w:val="960"/>
        </w:trPr>
        <w:tc>
          <w:tcPr>
            <w:tcW w:w="3491" w:type="dxa"/>
          </w:tcPr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>Vypracoval/a:</w:t>
            </w:r>
          </w:p>
          <w:p w:rsidR="00430EEE" w:rsidRPr="00E92FB3" w:rsidRDefault="00430EEE" w:rsidP="000B3D82">
            <w:pPr>
              <w:rPr>
                <w:szCs w:val="20"/>
              </w:rPr>
            </w:pPr>
          </w:p>
          <w:p w:rsidR="00430EEE" w:rsidRPr="00E92FB3" w:rsidRDefault="005609B3" w:rsidP="000B3D82">
            <w:pPr>
              <w:rPr>
                <w:szCs w:val="20"/>
              </w:rPr>
            </w:pPr>
            <w:r>
              <w:rPr>
                <w:szCs w:val="20"/>
              </w:rPr>
              <w:t xml:space="preserve">Mgr. Alena </w:t>
            </w:r>
            <w:proofErr w:type="spellStart"/>
            <w:r>
              <w:rPr>
                <w:szCs w:val="20"/>
              </w:rPr>
              <w:t>Dekařová</w:t>
            </w:r>
            <w:proofErr w:type="spellEnd"/>
          </w:p>
          <w:p w:rsidR="00430EEE" w:rsidRPr="00E92FB3" w:rsidRDefault="00430EEE" w:rsidP="001E3A46">
            <w:pPr>
              <w:rPr>
                <w:szCs w:val="20"/>
              </w:rPr>
            </w:pPr>
          </w:p>
        </w:tc>
        <w:tc>
          <w:tcPr>
            <w:tcW w:w="2605" w:type="dxa"/>
          </w:tcPr>
          <w:p w:rsidR="00430EEE" w:rsidRPr="00E92FB3" w:rsidRDefault="00430EEE" w:rsidP="000B3D82">
            <w:pPr>
              <w:keepNext/>
              <w:outlineLvl w:val="1"/>
              <w:rPr>
                <w:b/>
                <w:szCs w:val="20"/>
              </w:rPr>
            </w:pPr>
            <w:r w:rsidRPr="009E48BD">
              <w:rPr>
                <w:b/>
                <w:szCs w:val="20"/>
              </w:rPr>
              <w:t>Schválil</w:t>
            </w:r>
            <w:r>
              <w:rPr>
                <w:b/>
                <w:szCs w:val="20"/>
              </w:rPr>
              <w:t>/a</w:t>
            </w:r>
            <w:r w:rsidRPr="009E48BD">
              <w:rPr>
                <w:b/>
                <w:szCs w:val="20"/>
              </w:rPr>
              <w:t>:</w:t>
            </w:r>
          </w:p>
          <w:p w:rsidR="00430EEE" w:rsidRPr="00E92FB3" w:rsidRDefault="00430EEE" w:rsidP="000B3D82">
            <w:pPr>
              <w:keepNext/>
              <w:outlineLvl w:val="1"/>
              <w:rPr>
                <w:b/>
                <w:szCs w:val="20"/>
              </w:rPr>
            </w:pPr>
          </w:p>
          <w:p w:rsidR="00430EEE" w:rsidRPr="00E92FB3" w:rsidRDefault="00430EEE" w:rsidP="000B3D82">
            <w:pPr>
              <w:keepNext/>
              <w:outlineLvl w:val="1"/>
              <w:rPr>
                <w:szCs w:val="20"/>
              </w:rPr>
            </w:pPr>
            <w:r w:rsidRPr="00E92FB3">
              <w:rPr>
                <w:szCs w:val="20"/>
              </w:rPr>
              <w:t>MUDr. Věra Dostálová</w:t>
            </w:r>
          </w:p>
          <w:p w:rsidR="00430EEE" w:rsidRPr="00E92FB3" w:rsidRDefault="00430EEE" w:rsidP="000B3D82">
            <w:pPr>
              <w:keepNext/>
              <w:outlineLvl w:val="1"/>
              <w:rPr>
                <w:szCs w:val="20"/>
              </w:rPr>
            </w:pPr>
            <w:r w:rsidRPr="00E92FB3">
              <w:rPr>
                <w:szCs w:val="20"/>
              </w:rPr>
              <w:t xml:space="preserve">ředitelka </w:t>
            </w:r>
          </w:p>
          <w:p w:rsidR="00430EEE" w:rsidRPr="00E92FB3" w:rsidRDefault="00430EEE" w:rsidP="000B3D82">
            <w:pPr>
              <w:keepNext/>
              <w:outlineLvl w:val="1"/>
              <w:rPr>
                <w:i/>
                <w:szCs w:val="20"/>
              </w:rPr>
            </w:pPr>
          </w:p>
        </w:tc>
        <w:tc>
          <w:tcPr>
            <w:tcW w:w="3261" w:type="dxa"/>
          </w:tcPr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>Kontroloval/a:</w:t>
            </w:r>
          </w:p>
          <w:p w:rsidR="00430EEE" w:rsidRPr="00E92FB3" w:rsidRDefault="00430EEE" w:rsidP="000B3D82">
            <w:pPr>
              <w:rPr>
                <w:b/>
                <w:szCs w:val="20"/>
              </w:rPr>
            </w:pPr>
          </w:p>
          <w:p w:rsidR="00430EEE" w:rsidRPr="00E92FB3" w:rsidRDefault="00430EEE" w:rsidP="000B3D82">
            <w:pPr>
              <w:rPr>
                <w:szCs w:val="20"/>
              </w:rPr>
            </w:pPr>
            <w:r w:rsidRPr="00E92FB3">
              <w:rPr>
                <w:szCs w:val="20"/>
              </w:rPr>
              <w:t xml:space="preserve">Mgr. </w:t>
            </w:r>
            <w:r w:rsidR="005609B3">
              <w:rPr>
                <w:szCs w:val="20"/>
              </w:rPr>
              <w:t xml:space="preserve">Naděžda </w:t>
            </w:r>
            <w:proofErr w:type="spellStart"/>
            <w:r w:rsidR="005609B3">
              <w:rPr>
                <w:szCs w:val="20"/>
              </w:rPr>
              <w:t>Kwašniewská</w:t>
            </w:r>
            <w:proofErr w:type="spellEnd"/>
          </w:p>
          <w:p w:rsidR="00430EEE" w:rsidRPr="00E92FB3" w:rsidRDefault="00430EEE" w:rsidP="000B3D82">
            <w:pPr>
              <w:rPr>
                <w:szCs w:val="20"/>
              </w:rPr>
            </w:pPr>
          </w:p>
        </w:tc>
      </w:tr>
    </w:tbl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445" w:rsidRPr="00EA394B" w:rsidRDefault="00682445" w:rsidP="00682445">
      <w:pPr>
        <w:pStyle w:val="Style14"/>
        <w:widowControl/>
        <w:spacing w:before="48"/>
        <w:ind w:left="710"/>
        <w:jc w:val="both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Ú v o d</w:t>
      </w:r>
    </w:p>
    <w:p w:rsidR="00682445" w:rsidRDefault="00682445" w:rsidP="00682445">
      <w:pPr>
        <w:pStyle w:val="Style15"/>
        <w:widowControl/>
        <w:spacing w:line="240" w:lineRule="exact"/>
        <w:ind w:right="5"/>
        <w:rPr>
          <w:sz w:val="20"/>
          <w:szCs w:val="20"/>
        </w:rPr>
      </w:pPr>
    </w:p>
    <w:p w:rsidR="00682445" w:rsidRDefault="00682445" w:rsidP="00682445">
      <w:pPr>
        <w:pStyle w:val="Style15"/>
        <w:widowControl/>
        <w:spacing w:before="10" w:line="250" w:lineRule="exact"/>
        <w:ind w:right="5"/>
        <w:rPr>
          <w:rStyle w:val="FontStyle28"/>
        </w:rPr>
      </w:pPr>
      <w:r>
        <w:rPr>
          <w:rStyle w:val="FontStyle28"/>
        </w:rPr>
        <w:t xml:space="preserve">Vyřizování </w:t>
      </w:r>
      <w:proofErr w:type="gramStart"/>
      <w:r>
        <w:rPr>
          <w:rStyle w:val="FontStyle28"/>
        </w:rPr>
        <w:t>stížnost</w:t>
      </w:r>
      <w:r w:rsidR="00EA394B">
        <w:rPr>
          <w:rStyle w:val="FontStyle28"/>
        </w:rPr>
        <w:t xml:space="preserve">í </w:t>
      </w:r>
      <w:r>
        <w:rPr>
          <w:rStyle w:val="FontStyle28"/>
        </w:rPr>
        <w:t xml:space="preserve"> je</w:t>
      </w:r>
      <w:proofErr w:type="gramEnd"/>
      <w:r>
        <w:rPr>
          <w:rStyle w:val="FontStyle28"/>
        </w:rPr>
        <w:t xml:space="preserve"> upraveno zákonem č. </w:t>
      </w:r>
      <w:r w:rsidR="00EA394B">
        <w:rPr>
          <w:rStyle w:val="FontStyle28"/>
        </w:rPr>
        <w:t>372/2011</w:t>
      </w:r>
      <w:r>
        <w:rPr>
          <w:rStyle w:val="FontStyle28"/>
        </w:rPr>
        <w:t xml:space="preserve"> Sb.</w:t>
      </w:r>
      <w:r w:rsidR="00EA394B">
        <w:rPr>
          <w:rStyle w:val="FontStyle28"/>
        </w:rPr>
        <w:t>,</w:t>
      </w:r>
      <w:r>
        <w:rPr>
          <w:rStyle w:val="FontStyle28"/>
        </w:rPr>
        <w:t xml:space="preserve"> </w:t>
      </w:r>
      <w:r w:rsidR="00EA394B">
        <w:rPr>
          <w:rStyle w:val="FontStyle28"/>
        </w:rPr>
        <w:t>zákon o zdravotních službách, ve znění pozdějších předpisů</w:t>
      </w:r>
      <w:r w:rsidR="00C00FF9">
        <w:rPr>
          <w:rStyle w:val="FontStyle28"/>
        </w:rPr>
        <w:t>, §§ 93 - 97</w:t>
      </w:r>
      <w:r w:rsidR="00EA394B">
        <w:rPr>
          <w:rStyle w:val="FontStyle28"/>
        </w:rPr>
        <w:t>.</w:t>
      </w:r>
    </w:p>
    <w:p w:rsidR="00682445" w:rsidRDefault="00EA394B" w:rsidP="00682445">
      <w:pPr>
        <w:pStyle w:val="Style15"/>
        <w:widowControl/>
        <w:spacing w:line="250" w:lineRule="exact"/>
        <w:ind w:firstLine="710"/>
        <w:rPr>
          <w:rStyle w:val="FontStyle28"/>
        </w:rPr>
      </w:pPr>
      <w:r>
        <w:rPr>
          <w:rStyle w:val="FontStyle28"/>
        </w:rPr>
        <w:t>Účelem těchto p</w:t>
      </w:r>
      <w:r w:rsidR="00682445">
        <w:rPr>
          <w:rStyle w:val="FontStyle28"/>
        </w:rPr>
        <w:t>ravidel je upravit způsob přijímání a vyřizování stížností v NTGM Hodonín</w:t>
      </w:r>
      <w:r>
        <w:rPr>
          <w:rStyle w:val="FontStyle28"/>
        </w:rPr>
        <w:t>,</w:t>
      </w:r>
      <w:r w:rsidR="00682445">
        <w:rPr>
          <w:rStyle w:val="FontStyle28"/>
        </w:rPr>
        <w:t xml:space="preserve"> příspěvko</w:t>
      </w:r>
      <w:r>
        <w:rPr>
          <w:rStyle w:val="FontStyle28"/>
        </w:rPr>
        <w:t>vé organizaci (</w:t>
      </w:r>
      <w:r w:rsidR="00682445">
        <w:rPr>
          <w:rStyle w:val="FontStyle28"/>
        </w:rPr>
        <w:t>dále jen NTGM). Všichni zaměstnanci NTGM jsou povinni při přijímání, evidování a vyřizování stížností postupovat tak, aby bylo respektováno právo každé osoby na ochranu před neoprávněným zasahováním do jeho soukromého a osobního života včetně jejího práva na ochranu osobních údajů před zneužitím.</w:t>
      </w:r>
    </w:p>
    <w:p w:rsidR="00682445" w:rsidRDefault="00682445" w:rsidP="00682445">
      <w:pPr>
        <w:pStyle w:val="Style14"/>
        <w:widowControl/>
        <w:spacing w:line="240" w:lineRule="exact"/>
        <w:ind w:left="710"/>
        <w:rPr>
          <w:sz w:val="20"/>
          <w:szCs w:val="20"/>
        </w:rPr>
      </w:pPr>
    </w:p>
    <w:p w:rsidR="00682445" w:rsidRPr="00EA394B" w:rsidRDefault="00682445" w:rsidP="00682445">
      <w:pPr>
        <w:pStyle w:val="Style14"/>
        <w:widowControl/>
        <w:spacing w:before="34"/>
        <w:ind w:left="710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Evidence stížností</w:t>
      </w:r>
    </w:p>
    <w:p w:rsidR="00682445" w:rsidRDefault="00682445" w:rsidP="00682445">
      <w:pPr>
        <w:pStyle w:val="Style15"/>
        <w:widowControl/>
        <w:spacing w:line="240" w:lineRule="exact"/>
        <w:ind w:firstLine="706"/>
        <w:jc w:val="left"/>
        <w:rPr>
          <w:sz w:val="20"/>
          <w:szCs w:val="20"/>
        </w:rPr>
      </w:pPr>
    </w:p>
    <w:p w:rsidR="00EA394B" w:rsidRDefault="00682445" w:rsidP="00682445">
      <w:pPr>
        <w:pStyle w:val="Style15"/>
        <w:widowControl/>
        <w:spacing w:before="14" w:line="250" w:lineRule="exact"/>
        <w:ind w:firstLine="706"/>
        <w:jc w:val="left"/>
        <w:rPr>
          <w:rStyle w:val="FontStyle28"/>
        </w:rPr>
      </w:pPr>
      <w:r>
        <w:rPr>
          <w:rStyle w:val="FontStyle28"/>
        </w:rPr>
        <w:t xml:space="preserve">Evidenci všech stížností doručených do NTGM vede </w:t>
      </w:r>
      <w:r w:rsidR="00EA394B">
        <w:rPr>
          <w:rStyle w:val="FontStyle28"/>
        </w:rPr>
        <w:t>právník nemocnice /právní oddělení/</w:t>
      </w:r>
      <w:r>
        <w:rPr>
          <w:rStyle w:val="FontStyle28"/>
        </w:rPr>
        <w:t xml:space="preserve">. </w:t>
      </w:r>
    </w:p>
    <w:p w:rsidR="00682445" w:rsidRDefault="00682445" w:rsidP="00EA394B">
      <w:pPr>
        <w:pStyle w:val="Style15"/>
        <w:widowControl/>
        <w:spacing w:before="14" w:line="250" w:lineRule="exact"/>
        <w:ind w:firstLine="0"/>
        <w:jc w:val="left"/>
        <w:rPr>
          <w:rStyle w:val="FontStyle28"/>
        </w:rPr>
      </w:pPr>
      <w:r>
        <w:rPr>
          <w:rStyle w:val="FontStyle28"/>
        </w:rPr>
        <w:t xml:space="preserve">Evidence </w:t>
      </w:r>
      <w:proofErr w:type="gramStart"/>
      <w:r>
        <w:rPr>
          <w:rStyle w:val="FontStyle28"/>
        </w:rPr>
        <w:t>obsahuje :</w:t>
      </w:r>
      <w:proofErr w:type="gramEnd"/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datum podání - doručení stížnosti</w:t>
      </w:r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pořadové číslo a spisová značka, pod kterou je stížnost vedena</w:t>
      </w:r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jméno, příjmení a adresa stěžovatele popř. název, sídlo a IČ právnické osoby</w:t>
      </w:r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označení subjektu, proti kterému stížnost směřuje nebo se jej týká</w:t>
      </w:r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předmět stížnosti</w:t>
      </w:r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kdy a komu byla stížnost předána k vyřízení</w:t>
      </w:r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výsledek šetření</w:t>
      </w:r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opatření ke zjednání nápravy</w:t>
      </w:r>
    </w:p>
    <w:p w:rsidR="00682445" w:rsidRDefault="00682445" w:rsidP="00682445">
      <w:pPr>
        <w:pStyle w:val="Style18"/>
        <w:widowControl/>
        <w:numPr>
          <w:ilvl w:val="0"/>
          <w:numId w:val="21"/>
        </w:numPr>
        <w:tabs>
          <w:tab w:val="left" w:pos="336"/>
        </w:tabs>
        <w:spacing w:line="269" w:lineRule="exact"/>
        <w:rPr>
          <w:rStyle w:val="FontStyle28"/>
        </w:rPr>
      </w:pPr>
      <w:r>
        <w:rPr>
          <w:rStyle w:val="FontStyle28"/>
        </w:rPr>
        <w:t>datum vyřízení stížnosti</w:t>
      </w:r>
    </w:p>
    <w:p w:rsidR="00682445" w:rsidRDefault="00682445" w:rsidP="00682445">
      <w:pPr>
        <w:pStyle w:val="Style17"/>
        <w:widowControl/>
        <w:spacing w:line="240" w:lineRule="exact"/>
        <w:ind w:right="10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0" w:line="250" w:lineRule="exact"/>
        <w:ind w:right="10"/>
        <w:rPr>
          <w:rStyle w:val="FontStyle28"/>
        </w:rPr>
      </w:pPr>
      <w:r>
        <w:rPr>
          <w:rStyle w:val="FontStyle28"/>
        </w:rPr>
        <w:t xml:space="preserve">Po zaevidování je stížnost postoupena vedoucímu zaměstnanci věcně příslušného oddělení či úseku k prošetření a písemnému </w:t>
      </w:r>
      <w:proofErr w:type="gramStart"/>
      <w:r>
        <w:rPr>
          <w:rStyle w:val="FontStyle28"/>
        </w:rPr>
        <w:t>zdůvodnění , příp.</w:t>
      </w:r>
      <w:proofErr w:type="gramEnd"/>
      <w:r>
        <w:rPr>
          <w:rStyle w:val="FontStyle28"/>
        </w:rPr>
        <w:t xml:space="preserve"> doložení důkazů, na které se vedoucí zaměstnanec odvolává.</w:t>
      </w:r>
    </w:p>
    <w:p w:rsidR="00682445" w:rsidRDefault="00682445" w:rsidP="00682445">
      <w:pPr>
        <w:pStyle w:val="Style17"/>
        <w:widowControl/>
        <w:spacing w:line="250" w:lineRule="exact"/>
        <w:ind w:firstLine="360"/>
        <w:rPr>
          <w:rStyle w:val="FontStyle28"/>
        </w:rPr>
      </w:pPr>
      <w:r>
        <w:rPr>
          <w:rStyle w:val="FontStyle28"/>
        </w:rPr>
        <w:t xml:space="preserve">V případech, kdy se postupuje originál stížnosti k vyřízení jiné organizaci, zůstane ve spisu její evidovaná </w:t>
      </w:r>
      <w:proofErr w:type="gramStart"/>
      <w:r>
        <w:rPr>
          <w:rStyle w:val="FontStyle28"/>
        </w:rPr>
        <w:t>kopie .</w:t>
      </w:r>
      <w:proofErr w:type="gramEnd"/>
    </w:p>
    <w:p w:rsidR="00682445" w:rsidRDefault="00682445" w:rsidP="00682445">
      <w:pPr>
        <w:pStyle w:val="Style17"/>
        <w:widowControl/>
        <w:spacing w:line="250" w:lineRule="exact"/>
        <w:ind w:right="5" w:firstLine="360"/>
        <w:rPr>
          <w:rStyle w:val="FontStyle28"/>
        </w:rPr>
      </w:pPr>
      <w:r>
        <w:rPr>
          <w:rStyle w:val="FontStyle28"/>
        </w:rPr>
        <w:t>Zaevidované stížnosti lze vyřadit z evidence pouze výjimečně a v písemně odůvodněných případech. O vyřazení rozhoduje ředitel NTGM. O vyřazení stížnosti je písemně vyrozuměn stěžovatel.</w:t>
      </w:r>
    </w:p>
    <w:p w:rsidR="00682445" w:rsidRDefault="00682445" w:rsidP="00682445">
      <w:pPr>
        <w:pStyle w:val="Style15"/>
        <w:widowControl/>
        <w:spacing w:line="250" w:lineRule="exact"/>
        <w:ind w:firstLine="706"/>
        <w:rPr>
          <w:rStyle w:val="FontStyle28"/>
        </w:rPr>
      </w:pPr>
      <w:r>
        <w:rPr>
          <w:rStyle w:val="FontStyle28"/>
        </w:rPr>
        <w:t>Kopie písemností pořízených při přešetřování stížnosti se ukládají odděleně od ostatních spisů u vedoucího zaměstnance oddělení či úseku, který stížnost šetřil.</w:t>
      </w:r>
    </w:p>
    <w:p w:rsidR="00682445" w:rsidRDefault="00682445" w:rsidP="00682445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682445" w:rsidRDefault="00682445" w:rsidP="00682445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682445" w:rsidRPr="00EA394B" w:rsidRDefault="00682445" w:rsidP="00682445">
      <w:pPr>
        <w:pStyle w:val="Style14"/>
        <w:widowControl/>
        <w:spacing w:before="29"/>
        <w:ind w:left="360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Podávání stížností</w:t>
      </w:r>
    </w:p>
    <w:p w:rsidR="00682445" w:rsidRDefault="00682445" w:rsidP="00682445">
      <w:pPr>
        <w:pStyle w:val="Style17"/>
        <w:widowControl/>
        <w:spacing w:line="240" w:lineRule="exact"/>
        <w:ind w:firstLine="370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5" w:line="254" w:lineRule="exact"/>
        <w:ind w:firstLine="370"/>
        <w:rPr>
          <w:rStyle w:val="FontStyle28"/>
        </w:rPr>
      </w:pPr>
      <w:r>
        <w:rPr>
          <w:rStyle w:val="FontStyle28"/>
        </w:rPr>
        <w:t>Stížnost může podat každá fyzická nebo právnická osoba, která se cítí být poškozena na svých právech či oprávněných zájmech. Pokud stížnost podává více stěžovatelů společně a neurčí v ní, komu z nich se mají doručovat písemnosti v šetřené věci, doručují se tomu stěžovateli, který je uveden na prvním místě.</w:t>
      </w:r>
    </w:p>
    <w:p w:rsidR="00682445" w:rsidRDefault="00682445" w:rsidP="00682445">
      <w:pPr>
        <w:pStyle w:val="Style14"/>
        <w:widowControl/>
        <w:spacing w:line="240" w:lineRule="exact"/>
        <w:ind w:left="365"/>
        <w:rPr>
          <w:sz w:val="20"/>
          <w:szCs w:val="20"/>
        </w:rPr>
      </w:pPr>
    </w:p>
    <w:p w:rsidR="00682445" w:rsidRPr="00EA394B" w:rsidRDefault="00682445" w:rsidP="00682445">
      <w:pPr>
        <w:pStyle w:val="Style14"/>
        <w:widowControl/>
        <w:spacing w:before="34"/>
        <w:ind w:left="365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Přijímání stížností</w:t>
      </w:r>
    </w:p>
    <w:p w:rsidR="00682445" w:rsidRDefault="00682445" w:rsidP="00682445">
      <w:pPr>
        <w:pStyle w:val="Style17"/>
        <w:widowControl/>
        <w:spacing w:line="240" w:lineRule="exact"/>
        <w:ind w:right="19" w:firstLine="360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0" w:line="250" w:lineRule="exact"/>
        <w:ind w:right="19" w:firstLine="360"/>
        <w:rPr>
          <w:rStyle w:val="FontStyle28"/>
        </w:rPr>
      </w:pPr>
      <w:r>
        <w:rPr>
          <w:rStyle w:val="FontStyle28"/>
        </w:rPr>
        <w:t xml:space="preserve">Stížnost je povinen přijmout každý zaměstnanec NTGM . Stížnost především </w:t>
      </w:r>
      <w:proofErr w:type="gramStart"/>
      <w:r>
        <w:rPr>
          <w:rStyle w:val="FontStyle28"/>
        </w:rPr>
        <w:t>přijímá : ředitel</w:t>
      </w:r>
      <w:proofErr w:type="gramEnd"/>
      <w:r>
        <w:rPr>
          <w:rStyle w:val="FontStyle28"/>
        </w:rPr>
        <w:t xml:space="preserve">, náměstci ředitele , vedoucí zaměstnanci všech oddělení, kteří jsou povinni přijatou stížnost neprodleně předat k zaevidování. Vyřizují však jen ty stížnosti, které jim budou dány k vyřízení na základě rozhodnutí </w:t>
      </w:r>
      <w:proofErr w:type="gramStart"/>
      <w:r>
        <w:rPr>
          <w:rStyle w:val="FontStyle28"/>
        </w:rPr>
        <w:t>ředitele .</w:t>
      </w:r>
      <w:proofErr w:type="gramEnd"/>
    </w:p>
    <w:p w:rsidR="00682445" w:rsidRDefault="00682445" w:rsidP="00682445">
      <w:pPr>
        <w:pStyle w:val="Style17"/>
        <w:widowControl/>
        <w:spacing w:before="53" w:line="250" w:lineRule="exact"/>
        <w:ind w:firstLine="370"/>
        <w:rPr>
          <w:rStyle w:val="FontStyle28"/>
        </w:rPr>
      </w:pPr>
      <w:r>
        <w:rPr>
          <w:rStyle w:val="FontStyle28"/>
        </w:rPr>
        <w:t xml:space="preserve">Stížnost lze podat písemně, v elektronické podobě i </w:t>
      </w:r>
      <w:proofErr w:type="gramStart"/>
      <w:r>
        <w:rPr>
          <w:rStyle w:val="FontStyle28"/>
        </w:rPr>
        <w:t>ústně . Ústní</w:t>
      </w:r>
      <w:proofErr w:type="gramEnd"/>
      <w:r>
        <w:rPr>
          <w:rStyle w:val="FontStyle28"/>
        </w:rPr>
        <w:t xml:space="preserve"> stížnosti lze po jejich zvážení ihned operativně vyřídit na příslušném oddělení a stěžovatele obeznámit o stavu věci bez sepsání záznamu o stížnosti . U věcí, které nelze ihned vyřídit, je nutné sepsat o obsahu stížnosti záznam, který stěžovatel podepíše a obdrží jeho kopii.</w:t>
      </w:r>
    </w:p>
    <w:p w:rsidR="00682445" w:rsidRDefault="00682445" w:rsidP="00682445">
      <w:pPr>
        <w:pStyle w:val="Style17"/>
        <w:widowControl/>
        <w:spacing w:line="250" w:lineRule="exact"/>
        <w:rPr>
          <w:rStyle w:val="FontStyle28"/>
        </w:rPr>
      </w:pPr>
      <w:r>
        <w:rPr>
          <w:rStyle w:val="FontStyle28"/>
        </w:rPr>
        <w:t>Náleží-li vyřízení stížnosti do kompetence jiného orgánu, je nutné sepsat záznam o stížnosti i po vysvětlení stěžovateli, pokud o to stěžovatel požádá.</w:t>
      </w:r>
    </w:p>
    <w:p w:rsidR="00682445" w:rsidRDefault="00682445" w:rsidP="00682445">
      <w:pPr>
        <w:pStyle w:val="Style17"/>
        <w:widowControl/>
        <w:spacing w:before="5" w:line="250" w:lineRule="exact"/>
        <w:rPr>
          <w:rStyle w:val="FontStyle28"/>
        </w:rPr>
      </w:pPr>
      <w:r>
        <w:rPr>
          <w:rStyle w:val="FontStyle28"/>
        </w:rPr>
        <w:t xml:space="preserve">Stížnosti podávané telefonicky se vyřizují podle povahy věci buď </w:t>
      </w:r>
      <w:proofErr w:type="gramStart"/>
      <w:r>
        <w:rPr>
          <w:rStyle w:val="FontStyle28"/>
        </w:rPr>
        <w:t>vysvětlením nebo</w:t>
      </w:r>
      <w:proofErr w:type="gramEnd"/>
      <w:r>
        <w:rPr>
          <w:rStyle w:val="FontStyle28"/>
        </w:rPr>
        <w:t xml:space="preserve"> se stěžovateli doporučí, aby stížnost podal písemně a doručil do sídla organizace.</w:t>
      </w:r>
    </w:p>
    <w:p w:rsidR="00682445" w:rsidRDefault="00682445" w:rsidP="00682445">
      <w:pPr>
        <w:pStyle w:val="Style17"/>
        <w:widowControl/>
        <w:spacing w:line="250" w:lineRule="exact"/>
        <w:ind w:firstLine="370"/>
        <w:rPr>
          <w:rStyle w:val="FontStyle28"/>
        </w:rPr>
      </w:pPr>
      <w:r>
        <w:rPr>
          <w:rStyle w:val="FontStyle28"/>
        </w:rPr>
        <w:t xml:space="preserve">Stížnosti podávané prostřednictvím elektronické pošty podepsané zaručeným elektronickým podpisem nebo bez zaručeného elektronického </w:t>
      </w:r>
      <w:proofErr w:type="gramStart"/>
      <w:r>
        <w:rPr>
          <w:rStyle w:val="FontStyle28"/>
        </w:rPr>
        <w:t>podpisu , ale</w:t>
      </w:r>
      <w:proofErr w:type="gramEnd"/>
      <w:r>
        <w:rPr>
          <w:rStyle w:val="FontStyle28"/>
        </w:rPr>
        <w:t xml:space="preserve"> obsahující všechny potřebné údaje o stěžovateli, se vyřizují tak jako stížnosti písemné. Stížnost bez zaručeného elektronického podpisu neobsahující jméno, příjmení nebo adresu stěžovatele bude považována za anonymní, pokud i přes výzvu stěžovatel tyto údaje nedoplní.</w:t>
      </w:r>
    </w:p>
    <w:p w:rsidR="00682445" w:rsidRDefault="00682445" w:rsidP="00682445">
      <w:pPr>
        <w:pStyle w:val="Style17"/>
        <w:widowControl/>
        <w:spacing w:before="5" w:line="250" w:lineRule="exact"/>
        <w:ind w:right="5" w:firstLine="355"/>
        <w:rPr>
          <w:rStyle w:val="FontStyle28"/>
        </w:rPr>
      </w:pPr>
      <w:r>
        <w:rPr>
          <w:rStyle w:val="FontStyle28"/>
        </w:rPr>
        <w:t xml:space="preserve">Ze stížnosti musí být patrno, čeho se stěžovatel </w:t>
      </w:r>
      <w:proofErr w:type="gramStart"/>
      <w:r>
        <w:rPr>
          <w:rStyle w:val="FontStyle28"/>
        </w:rPr>
        <w:t>domáhá . V opačném</w:t>
      </w:r>
      <w:proofErr w:type="gramEnd"/>
      <w:r>
        <w:rPr>
          <w:rStyle w:val="FontStyle28"/>
        </w:rPr>
        <w:t xml:space="preserve"> případě jej právní oddělení vyzve k upřesnění stížnosti a stanoví lhůtu k upřesnění s upozorněním, že pokud tak neučiní, bude jeho stížnost odložena. O odložení se učiní záznam do spisu.</w:t>
      </w:r>
    </w:p>
    <w:p w:rsidR="00682445" w:rsidRDefault="00682445" w:rsidP="00682445">
      <w:pPr>
        <w:pStyle w:val="Style17"/>
        <w:widowControl/>
        <w:spacing w:before="5" w:line="250" w:lineRule="exact"/>
        <w:ind w:firstLine="355"/>
        <w:rPr>
          <w:rStyle w:val="FontStyle28"/>
        </w:rPr>
      </w:pPr>
      <w:r>
        <w:rPr>
          <w:rStyle w:val="FontStyle28"/>
        </w:rPr>
        <w:t>Lhůta pro vyřízení stížnosti je 30 dnů od jejího doručení, popř. 30 dnů od doručení upřesňujícího dopisu nebo osobního upřesnění.</w:t>
      </w:r>
    </w:p>
    <w:p w:rsidR="00682445" w:rsidRDefault="00682445" w:rsidP="00682445">
      <w:pPr>
        <w:pStyle w:val="Style17"/>
        <w:widowControl/>
        <w:spacing w:line="250" w:lineRule="exact"/>
        <w:ind w:firstLine="370"/>
        <w:rPr>
          <w:rStyle w:val="FontStyle28"/>
        </w:rPr>
      </w:pPr>
      <w:r>
        <w:rPr>
          <w:rStyle w:val="FontStyle28"/>
        </w:rPr>
        <w:t xml:space="preserve">Stížnost, ze které není </w:t>
      </w:r>
      <w:proofErr w:type="gramStart"/>
      <w:r>
        <w:rPr>
          <w:rStyle w:val="FontStyle28"/>
        </w:rPr>
        <w:t>patrné kdo</w:t>
      </w:r>
      <w:proofErr w:type="gramEnd"/>
      <w:r>
        <w:rPr>
          <w:rStyle w:val="FontStyle28"/>
        </w:rPr>
        <w:t xml:space="preserve"> ji podává , nebo bude zjištěno, že uvedené údaje jsou falešné, se považuje za stížnost anonymní. Všechny anonymní stížnosti budou předány právnímu odd. O tom, zda se anonymní stížnost bude vyřizovat, rozhodne </w:t>
      </w:r>
      <w:proofErr w:type="gramStart"/>
      <w:r>
        <w:rPr>
          <w:rStyle w:val="FontStyle28"/>
        </w:rPr>
        <w:t>ředitel . Po</w:t>
      </w:r>
      <w:proofErr w:type="gramEnd"/>
      <w:r>
        <w:rPr>
          <w:rStyle w:val="FontStyle28"/>
        </w:rPr>
        <w:t xml:space="preserve"> kladném rozhodnutí ředitele se stížnost vyřídí stejným způsobem jako ostatní stížnosti.</w:t>
      </w:r>
    </w:p>
    <w:p w:rsidR="00682445" w:rsidRDefault="00682445" w:rsidP="00682445">
      <w:pPr>
        <w:pStyle w:val="Style17"/>
        <w:widowControl/>
        <w:spacing w:line="250" w:lineRule="exact"/>
        <w:ind w:firstLine="360"/>
        <w:rPr>
          <w:rStyle w:val="FontStyle28"/>
        </w:rPr>
      </w:pPr>
      <w:r>
        <w:rPr>
          <w:rStyle w:val="FontStyle28"/>
        </w:rPr>
        <w:t xml:space="preserve">Opakuje-li stěžovatel stížnost v téže záležitosti, prověří právní </w:t>
      </w:r>
      <w:proofErr w:type="gramStart"/>
      <w:r>
        <w:rPr>
          <w:rStyle w:val="FontStyle28"/>
        </w:rPr>
        <w:t>oddělení , zda</w:t>
      </w:r>
      <w:proofErr w:type="gramEnd"/>
      <w:r>
        <w:rPr>
          <w:rStyle w:val="FontStyle28"/>
        </w:rPr>
        <w:t xml:space="preserve"> stížnost neobsahuje nové skutečnosti, které by bylo nutné prověřit. V případě, že je neobsahuje, stížnost se bez dalšího šetření odloží. O odložení se stěžovatel vyrozumí pouze po první opakované stížnosti a to do 10 dnů od jejího doručení. Zaslání této informace stěžovateli zajistí právní </w:t>
      </w:r>
      <w:proofErr w:type="gramStart"/>
      <w:r>
        <w:rPr>
          <w:rStyle w:val="FontStyle28"/>
        </w:rPr>
        <w:t>odd..</w:t>
      </w:r>
      <w:proofErr w:type="gramEnd"/>
      <w:r>
        <w:rPr>
          <w:rStyle w:val="FontStyle28"/>
        </w:rPr>
        <w:t xml:space="preserve"> Při dalším opakování se již stěžovatel nevyrozumívá, stížnost se pouze přiloží k původnímu spisu.</w:t>
      </w:r>
    </w:p>
    <w:p w:rsidR="00682445" w:rsidRDefault="00682445" w:rsidP="00682445">
      <w:pPr>
        <w:pStyle w:val="Style19"/>
        <w:widowControl/>
        <w:spacing w:line="240" w:lineRule="exact"/>
        <w:ind w:left="379" w:firstLine="0"/>
        <w:jc w:val="left"/>
        <w:rPr>
          <w:sz w:val="20"/>
          <w:szCs w:val="20"/>
        </w:rPr>
      </w:pPr>
    </w:p>
    <w:p w:rsidR="00682445" w:rsidRPr="00EA394B" w:rsidRDefault="00682445" w:rsidP="00682445">
      <w:pPr>
        <w:pStyle w:val="Style19"/>
        <w:widowControl/>
        <w:spacing w:before="14" w:line="240" w:lineRule="auto"/>
        <w:ind w:left="379" w:firstLine="0"/>
        <w:jc w:val="left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Potvrzení příjmu stížnosti</w:t>
      </w:r>
    </w:p>
    <w:p w:rsidR="00682445" w:rsidRDefault="00682445" w:rsidP="00682445">
      <w:pPr>
        <w:pStyle w:val="Style17"/>
        <w:widowControl/>
        <w:spacing w:line="240" w:lineRule="exact"/>
        <w:ind w:firstLine="350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24" w:line="245" w:lineRule="exact"/>
        <w:ind w:firstLine="350"/>
        <w:rPr>
          <w:rStyle w:val="FontStyle28"/>
        </w:rPr>
      </w:pPr>
      <w:r>
        <w:rPr>
          <w:rStyle w:val="FontStyle28"/>
        </w:rPr>
        <w:t xml:space="preserve">Příjem stížnosti potvrdí právní odd. </w:t>
      </w:r>
      <w:proofErr w:type="gramStart"/>
      <w:r>
        <w:rPr>
          <w:rStyle w:val="FontStyle28"/>
        </w:rPr>
        <w:t>do</w:t>
      </w:r>
      <w:proofErr w:type="gramEnd"/>
      <w:r>
        <w:rPr>
          <w:rStyle w:val="FontStyle28"/>
        </w:rPr>
        <w:t xml:space="preserve"> 7 dnů od doručení stížnosti NTGM. Příjem stížnosti se nepotvrzuje</w:t>
      </w:r>
    </w:p>
    <w:p w:rsidR="00682445" w:rsidRDefault="00682445" w:rsidP="00682445">
      <w:pPr>
        <w:pStyle w:val="Style18"/>
        <w:widowControl/>
        <w:numPr>
          <w:ilvl w:val="0"/>
          <w:numId w:val="22"/>
        </w:numPr>
        <w:tabs>
          <w:tab w:val="left" w:pos="739"/>
        </w:tabs>
        <w:spacing w:line="269" w:lineRule="exact"/>
        <w:ind w:left="384"/>
        <w:rPr>
          <w:rStyle w:val="FontStyle28"/>
        </w:rPr>
      </w:pPr>
      <w:r>
        <w:rPr>
          <w:rStyle w:val="FontStyle28"/>
        </w:rPr>
        <w:t>u ústně podaných stížností</w:t>
      </w:r>
    </w:p>
    <w:p w:rsidR="00682445" w:rsidRDefault="00682445" w:rsidP="00682445">
      <w:pPr>
        <w:pStyle w:val="Style18"/>
        <w:widowControl/>
        <w:numPr>
          <w:ilvl w:val="0"/>
          <w:numId w:val="22"/>
        </w:numPr>
        <w:tabs>
          <w:tab w:val="left" w:pos="739"/>
        </w:tabs>
        <w:spacing w:line="269" w:lineRule="exact"/>
        <w:ind w:left="384"/>
        <w:rPr>
          <w:rStyle w:val="FontStyle28"/>
        </w:rPr>
      </w:pPr>
      <w:r>
        <w:rPr>
          <w:rStyle w:val="FontStyle28"/>
        </w:rPr>
        <w:t>u stížností doručených osobně</w:t>
      </w:r>
    </w:p>
    <w:p w:rsidR="00682445" w:rsidRDefault="00682445" w:rsidP="00682445">
      <w:pPr>
        <w:pStyle w:val="Style18"/>
        <w:widowControl/>
        <w:numPr>
          <w:ilvl w:val="0"/>
          <w:numId w:val="22"/>
        </w:numPr>
        <w:tabs>
          <w:tab w:val="left" w:pos="739"/>
        </w:tabs>
        <w:spacing w:line="269" w:lineRule="exact"/>
        <w:ind w:left="384"/>
        <w:rPr>
          <w:rStyle w:val="FontStyle28"/>
        </w:rPr>
      </w:pPr>
      <w:r>
        <w:rPr>
          <w:rStyle w:val="FontStyle28"/>
        </w:rPr>
        <w:t>v případě, že bude stížnost vyřízena do 10 dnů od jejího doručení</w:t>
      </w:r>
    </w:p>
    <w:p w:rsidR="00682445" w:rsidRDefault="00682445" w:rsidP="00682445">
      <w:pPr>
        <w:pStyle w:val="Style17"/>
        <w:widowControl/>
        <w:spacing w:line="240" w:lineRule="exact"/>
        <w:ind w:firstLine="360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0" w:line="250" w:lineRule="exact"/>
        <w:ind w:firstLine="360"/>
        <w:rPr>
          <w:rStyle w:val="FontStyle28"/>
        </w:rPr>
      </w:pPr>
      <w:r>
        <w:rPr>
          <w:rStyle w:val="FontStyle28"/>
        </w:rPr>
        <w:t>Stížnosti zaslané elektronickou poštou se stejnou cestou potvrdí. Potvrzující dopis se vytiskne z „odeslané pošty" a založí ke stížnosti do spisu.</w:t>
      </w:r>
    </w:p>
    <w:p w:rsidR="00682445" w:rsidRDefault="00682445" w:rsidP="00682445">
      <w:pPr>
        <w:pStyle w:val="Style17"/>
        <w:widowControl/>
        <w:spacing w:line="250" w:lineRule="exact"/>
        <w:ind w:firstLine="360"/>
        <w:rPr>
          <w:rStyle w:val="FontStyle28"/>
        </w:rPr>
      </w:pPr>
      <w:r>
        <w:rPr>
          <w:rStyle w:val="FontStyle28"/>
        </w:rPr>
        <w:t>V případě, že NTGM není kompetentní k prošetření stížnosti, postoupí originál stížnosti nejdéle do 10 dnů věcně a místně příslušnému orgánu a v téže lhůtě o tom vyrozumí stěžovatele.</w:t>
      </w:r>
    </w:p>
    <w:p w:rsidR="00682445" w:rsidRDefault="00682445" w:rsidP="00682445">
      <w:pPr>
        <w:pStyle w:val="Style19"/>
        <w:widowControl/>
        <w:spacing w:line="240" w:lineRule="exact"/>
        <w:ind w:left="374" w:firstLine="0"/>
        <w:jc w:val="left"/>
        <w:rPr>
          <w:sz w:val="20"/>
          <w:szCs w:val="20"/>
        </w:rPr>
      </w:pPr>
    </w:p>
    <w:p w:rsidR="00682445" w:rsidRPr="00EA394B" w:rsidRDefault="00682445" w:rsidP="00682445">
      <w:pPr>
        <w:pStyle w:val="Style19"/>
        <w:widowControl/>
        <w:spacing w:before="14" w:line="240" w:lineRule="auto"/>
        <w:ind w:left="374" w:firstLine="0"/>
        <w:jc w:val="left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Vyřizování stížnosti</w:t>
      </w:r>
    </w:p>
    <w:p w:rsidR="00682445" w:rsidRDefault="00682445" w:rsidP="00682445">
      <w:pPr>
        <w:pStyle w:val="Style17"/>
        <w:widowControl/>
        <w:spacing w:line="240" w:lineRule="exact"/>
        <w:ind w:firstLine="360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4" w:line="250" w:lineRule="exact"/>
        <w:ind w:firstLine="360"/>
        <w:rPr>
          <w:rStyle w:val="FontStyle28"/>
        </w:rPr>
      </w:pPr>
      <w:r>
        <w:rPr>
          <w:rStyle w:val="FontStyle28"/>
        </w:rPr>
        <w:t xml:space="preserve">Za správné a včasné prošetření a vyřízení stížnosti odpovídají vedoucí </w:t>
      </w:r>
      <w:proofErr w:type="gramStart"/>
      <w:r>
        <w:rPr>
          <w:rStyle w:val="FontStyle28"/>
        </w:rPr>
        <w:t>oddělení v jejichž</w:t>
      </w:r>
      <w:proofErr w:type="gramEnd"/>
      <w:r>
        <w:rPr>
          <w:rStyle w:val="FontStyle28"/>
        </w:rPr>
        <w:t xml:space="preserve"> působnosti je stížnost vyřizována. Je-li to nezbytné k objektivnímu prošetření stížnosti, </w:t>
      </w:r>
      <w:proofErr w:type="gramStart"/>
      <w:r>
        <w:rPr>
          <w:rStyle w:val="FontStyle28"/>
        </w:rPr>
        <w:t>provede</w:t>
      </w:r>
      <w:proofErr w:type="gramEnd"/>
      <w:r>
        <w:rPr>
          <w:rStyle w:val="FontStyle28"/>
        </w:rPr>
        <w:t xml:space="preserve"> zaměstnanec vyřizující stížnost místní šetření o čemž </w:t>
      </w:r>
      <w:proofErr w:type="gramStart"/>
      <w:r>
        <w:rPr>
          <w:rStyle w:val="FontStyle28"/>
        </w:rPr>
        <w:t>vyhotoví</w:t>
      </w:r>
      <w:proofErr w:type="gramEnd"/>
      <w:r>
        <w:rPr>
          <w:rStyle w:val="FontStyle28"/>
        </w:rPr>
        <w:t xml:space="preserve"> zápis. V případě přítomnosti stěžovatele u místního šetření je třeba do závěru uvést jeho stanovisko k výsledkům šetření i ke stanoveným opatřením. Zápis musí být podepsán všemi účastníky šetření, předán všem účastníkům šetření příp. uvedeno odmítnutí jeho podpisu či převzetí. Pokud budou v průběhu šetření získávány nějaké telefonické informace, je nutné vždy o tom sepsat záznam do spisu - tj. kdy, s kým, v jaké záležitosti hovor veden, jméno, příjmení a podpis zaměstnance, který hovor vedl.</w:t>
      </w:r>
    </w:p>
    <w:p w:rsidR="00682445" w:rsidRPr="00EA394B" w:rsidRDefault="00682445" w:rsidP="00682445">
      <w:pPr>
        <w:pStyle w:val="Style19"/>
        <w:widowControl/>
        <w:spacing w:line="250" w:lineRule="exact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Stížnost musí být vyřízena ve 30 denní lhůtě od doručení NTGM - tzn. odpovědní zásilka stěžovateli již předána do podatelny k odeslání.</w:t>
      </w:r>
    </w:p>
    <w:p w:rsidR="00682445" w:rsidRDefault="00682445" w:rsidP="00682445">
      <w:pPr>
        <w:pStyle w:val="Style17"/>
        <w:widowControl/>
        <w:spacing w:line="250" w:lineRule="exact"/>
        <w:ind w:firstLine="355"/>
        <w:rPr>
          <w:rStyle w:val="FontStyle28"/>
        </w:rPr>
      </w:pPr>
      <w:r>
        <w:rPr>
          <w:rStyle w:val="FontStyle28"/>
        </w:rPr>
        <w:t>Tato lhůta může být překročena jen v odůvodněných případech s písemným souhlasem ředitele, který zároveň stanoví konečný termín vyřízení. O prodloužení lhůty žádá vedoucí oddělení šetřící stížnost s uvedením důvodu. O důvodech prodloužení lhůty k vyřízení a konečném termínu vyřízení informuje stěžovatele ještě před uplynutím základní 30 denní lhůty vedoucí příslušného oddělení, které stížnost vyřizuje.</w:t>
      </w:r>
    </w:p>
    <w:p w:rsidR="00682445" w:rsidRPr="00EA394B" w:rsidRDefault="00682445" w:rsidP="00682445">
      <w:pPr>
        <w:pStyle w:val="Style19"/>
        <w:widowControl/>
        <w:ind w:firstLine="355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Veškeré písemnosti související s vyřizováním stížnosti se zasílají tak, aby byl vždy k dispozici doklad o doručení.</w:t>
      </w:r>
    </w:p>
    <w:p w:rsidR="00682445" w:rsidRDefault="00682445" w:rsidP="00682445">
      <w:pPr>
        <w:pStyle w:val="Style17"/>
        <w:widowControl/>
        <w:spacing w:line="254" w:lineRule="exact"/>
        <w:ind w:left="374" w:firstLine="0"/>
        <w:jc w:val="left"/>
        <w:rPr>
          <w:rStyle w:val="FontStyle28"/>
        </w:rPr>
      </w:pPr>
      <w:r>
        <w:rPr>
          <w:rStyle w:val="FontStyle28"/>
        </w:rPr>
        <w:t>Za vyřízení stížnosti odpovídají vedoucí oddělení, kteří dbají na to, aby</w:t>
      </w:r>
    </w:p>
    <w:p w:rsidR="00682445" w:rsidRDefault="00682445" w:rsidP="00682445">
      <w:pPr>
        <w:pStyle w:val="Style16"/>
        <w:widowControl/>
        <w:numPr>
          <w:ilvl w:val="0"/>
          <w:numId w:val="23"/>
        </w:numPr>
        <w:tabs>
          <w:tab w:val="left" w:pos="734"/>
        </w:tabs>
        <w:spacing w:before="10"/>
        <w:ind w:left="384" w:firstLine="0"/>
        <w:rPr>
          <w:rStyle w:val="FontStyle28"/>
        </w:rPr>
      </w:pPr>
      <w:r>
        <w:rPr>
          <w:rStyle w:val="FontStyle28"/>
        </w:rPr>
        <w:t>stížnost byla objektivně prošetřena ve všech bodech a skutečnostech, bez průtahů, hospodárně</w:t>
      </w:r>
    </w:p>
    <w:p w:rsidR="00682445" w:rsidRDefault="00682445" w:rsidP="00682445">
      <w:pPr>
        <w:pStyle w:val="Style16"/>
        <w:widowControl/>
        <w:numPr>
          <w:ilvl w:val="0"/>
          <w:numId w:val="23"/>
        </w:numPr>
        <w:tabs>
          <w:tab w:val="left" w:pos="734"/>
        </w:tabs>
        <w:spacing w:before="5"/>
        <w:ind w:left="734"/>
        <w:jc w:val="both"/>
        <w:rPr>
          <w:rStyle w:val="FontStyle28"/>
        </w:rPr>
      </w:pPr>
      <w:r>
        <w:rPr>
          <w:rStyle w:val="FontStyle28"/>
        </w:rPr>
        <w:t>bylo zabezpečeno přezkoumání příčin vzniku oprávněných nebo částečně oprávněných stížností za účelem řešení a odstranění příčin jejich vzniku</w:t>
      </w:r>
    </w:p>
    <w:p w:rsidR="00682445" w:rsidRDefault="00682445" w:rsidP="00682445">
      <w:pPr>
        <w:pStyle w:val="Style16"/>
        <w:widowControl/>
        <w:numPr>
          <w:ilvl w:val="0"/>
          <w:numId w:val="23"/>
        </w:numPr>
        <w:tabs>
          <w:tab w:val="left" w:pos="734"/>
        </w:tabs>
        <w:spacing w:before="14"/>
        <w:ind w:left="734"/>
        <w:jc w:val="both"/>
        <w:rPr>
          <w:rStyle w:val="FontStyle28"/>
        </w:rPr>
      </w:pPr>
      <w:r>
        <w:rPr>
          <w:rStyle w:val="FontStyle28"/>
        </w:rPr>
        <w:t>ve výsledku šetření byla uvedena odpověď na všechny kritizované jevy, potvrzena či vyvrácena jejich oprávněnost s odvoláním na příp. citaci právních norem, které potvrzují nebo vyvracejí jednotlivé kritizované nedostatky</w:t>
      </w:r>
    </w:p>
    <w:p w:rsidR="00682445" w:rsidRDefault="00682445" w:rsidP="00682445">
      <w:pPr>
        <w:pStyle w:val="Style16"/>
        <w:widowControl/>
        <w:numPr>
          <w:ilvl w:val="0"/>
          <w:numId w:val="23"/>
        </w:numPr>
        <w:tabs>
          <w:tab w:val="left" w:pos="734"/>
        </w:tabs>
        <w:spacing w:before="10"/>
        <w:ind w:left="734"/>
        <w:jc w:val="both"/>
        <w:rPr>
          <w:rStyle w:val="FontStyle28"/>
        </w:rPr>
      </w:pPr>
      <w:r>
        <w:rPr>
          <w:rStyle w:val="FontStyle28"/>
        </w:rPr>
        <w:t>u oprávněných a částečně oprávněných stížností byla stanovena nápravná opatření k řešení a odstranění kritizovaných jevů</w:t>
      </w:r>
    </w:p>
    <w:p w:rsidR="00682445" w:rsidRDefault="00682445" w:rsidP="00682445">
      <w:pPr>
        <w:pStyle w:val="Style17"/>
        <w:widowControl/>
        <w:spacing w:line="240" w:lineRule="exact"/>
        <w:ind w:firstLine="355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4" w:line="250" w:lineRule="exact"/>
        <w:ind w:firstLine="355"/>
        <w:rPr>
          <w:rStyle w:val="FontStyle28"/>
        </w:rPr>
      </w:pPr>
      <w:r>
        <w:rPr>
          <w:rStyle w:val="FontStyle28"/>
        </w:rPr>
        <w:t xml:space="preserve">Právní odd. </w:t>
      </w:r>
      <w:proofErr w:type="gramStart"/>
      <w:r>
        <w:rPr>
          <w:rStyle w:val="FontStyle28"/>
        </w:rPr>
        <w:t>zabezpečí</w:t>
      </w:r>
      <w:proofErr w:type="gramEnd"/>
      <w:r>
        <w:rPr>
          <w:rStyle w:val="FontStyle28"/>
        </w:rPr>
        <w:t xml:space="preserve"> odeslání výsledků šetření stěžovateli příp. dalším orgánům, které výsledky vyžadují.</w:t>
      </w:r>
    </w:p>
    <w:p w:rsidR="00C00FF9" w:rsidRDefault="00C00FF9" w:rsidP="00682445">
      <w:pPr>
        <w:pStyle w:val="Style17"/>
        <w:widowControl/>
        <w:spacing w:before="14" w:line="250" w:lineRule="exact"/>
        <w:ind w:firstLine="355"/>
        <w:rPr>
          <w:rStyle w:val="FontStyle28"/>
        </w:rPr>
      </w:pPr>
      <w:r>
        <w:rPr>
          <w:rStyle w:val="FontStyle28"/>
        </w:rPr>
        <w:t>Pokud osoba, která podala poskytovateli stížnost, s jejím vyřízením nesouhlasí, může podat stížnost příslušnému správnímu orgánu, který tomuto poskytovateli udělil oprávnění k poskytování zdravotních služeb.</w:t>
      </w:r>
    </w:p>
    <w:p w:rsidR="00682445" w:rsidRDefault="00682445" w:rsidP="00682445">
      <w:pPr>
        <w:pStyle w:val="Style19"/>
        <w:widowControl/>
        <w:spacing w:line="240" w:lineRule="exact"/>
        <w:ind w:left="374" w:firstLine="0"/>
        <w:jc w:val="left"/>
        <w:rPr>
          <w:sz w:val="20"/>
          <w:szCs w:val="20"/>
        </w:rPr>
      </w:pPr>
    </w:p>
    <w:p w:rsidR="00682445" w:rsidRPr="00EA394B" w:rsidRDefault="00682445" w:rsidP="00682445">
      <w:pPr>
        <w:pStyle w:val="Style19"/>
        <w:widowControl/>
        <w:spacing w:before="19" w:line="240" w:lineRule="auto"/>
        <w:ind w:left="374" w:firstLine="0"/>
        <w:jc w:val="left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Kontrola stavu vyřizování stížností</w:t>
      </w:r>
    </w:p>
    <w:p w:rsidR="00682445" w:rsidRDefault="00682445" w:rsidP="00682445">
      <w:pPr>
        <w:pStyle w:val="Style17"/>
        <w:widowControl/>
        <w:spacing w:line="240" w:lineRule="exact"/>
        <w:ind w:left="374" w:firstLine="0"/>
        <w:jc w:val="left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0" w:line="250" w:lineRule="exact"/>
        <w:ind w:left="374" w:firstLine="0"/>
        <w:jc w:val="left"/>
        <w:rPr>
          <w:rStyle w:val="FontStyle28"/>
        </w:rPr>
      </w:pPr>
      <w:r>
        <w:rPr>
          <w:rStyle w:val="FontStyle28"/>
        </w:rPr>
        <w:t>Za správné a úplné vyřízení stížnosti odpovídají vedoucí oddělení.</w:t>
      </w:r>
    </w:p>
    <w:p w:rsidR="00682445" w:rsidRDefault="00682445" w:rsidP="00682445">
      <w:pPr>
        <w:pStyle w:val="Style17"/>
        <w:widowControl/>
        <w:spacing w:line="250" w:lineRule="exact"/>
        <w:ind w:firstLine="355"/>
        <w:rPr>
          <w:rStyle w:val="FontStyle28"/>
        </w:rPr>
      </w:pPr>
      <w:r>
        <w:rPr>
          <w:rStyle w:val="FontStyle28"/>
        </w:rPr>
        <w:t xml:space="preserve">Právní odd. </w:t>
      </w:r>
      <w:proofErr w:type="gramStart"/>
      <w:r>
        <w:rPr>
          <w:rStyle w:val="FontStyle28"/>
        </w:rPr>
        <w:t>kontroluje</w:t>
      </w:r>
      <w:proofErr w:type="gramEnd"/>
      <w:r>
        <w:rPr>
          <w:rStyle w:val="FontStyle28"/>
        </w:rPr>
        <w:t xml:space="preserve"> věcnou a formální správnost vyřízení stížnosti jednotlivými odděleními a dodržení stanovených lhůt.</w:t>
      </w:r>
    </w:p>
    <w:p w:rsidR="00682445" w:rsidRDefault="00682445" w:rsidP="00682445">
      <w:pPr>
        <w:pStyle w:val="Style17"/>
        <w:widowControl/>
        <w:spacing w:line="250" w:lineRule="exact"/>
        <w:ind w:right="14" w:firstLine="379"/>
        <w:rPr>
          <w:rStyle w:val="FontStyle28"/>
        </w:rPr>
      </w:pPr>
      <w:r>
        <w:rPr>
          <w:rStyle w:val="FontStyle28"/>
        </w:rPr>
        <w:t>Vedoucí oddělení provádí kontroly plnění opatření uložených při vyřizování stížností a v případě jejich neplnění vyvozují příslušné sankce proti osobám, které jsou zodpovědné za jejich nesplnění.</w:t>
      </w:r>
    </w:p>
    <w:p w:rsidR="00682445" w:rsidRDefault="00682445" w:rsidP="00682445">
      <w:pPr>
        <w:pStyle w:val="Style19"/>
        <w:widowControl/>
        <w:spacing w:line="240" w:lineRule="exact"/>
        <w:ind w:left="379" w:firstLine="0"/>
        <w:jc w:val="left"/>
        <w:rPr>
          <w:sz w:val="20"/>
          <w:szCs w:val="20"/>
        </w:rPr>
      </w:pPr>
    </w:p>
    <w:p w:rsidR="00EA394B" w:rsidRDefault="00EA394B" w:rsidP="00682445">
      <w:pPr>
        <w:pStyle w:val="Style19"/>
        <w:widowControl/>
        <w:spacing w:line="240" w:lineRule="exact"/>
        <w:ind w:left="379" w:firstLine="0"/>
        <w:jc w:val="left"/>
        <w:rPr>
          <w:sz w:val="20"/>
          <w:szCs w:val="20"/>
        </w:rPr>
      </w:pPr>
    </w:p>
    <w:p w:rsidR="00682445" w:rsidRPr="00EA394B" w:rsidRDefault="00682445" w:rsidP="00682445">
      <w:pPr>
        <w:pStyle w:val="Style19"/>
        <w:widowControl/>
        <w:spacing w:before="34" w:line="240" w:lineRule="auto"/>
        <w:ind w:left="379" w:firstLine="0"/>
        <w:jc w:val="left"/>
        <w:rPr>
          <w:rStyle w:val="FontStyle27"/>
          <w:sz w:val="22"/>
          <w:szCs w:val="22"/>
        </w:rPr>
      </w:pPr>
      <w:r w:rsidRPr="00EA394B">
        <w:rPr>
          <w:rStyle w:val="FontStyle27"/>
          <w:sz w:val="22"/>
          <w:szCs w:val="22"/>
        </w:rPr>
        <w:t>Závěrečná ustanovení</w:t>
      </w:r>
    </w:p>
    <w:p w:rsidR="00682445" w:rsidRDefault="00682445" w:rsidP="00682445">
      <w:pPr>
        <w:pStyle w:val="Style17"/>
        <w:widowControl/>
        <w:spacing w:line="240" w:lineRule="exact"/>
        <w:ind w:firstLine="355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4" w:line="250" w:lineRule="exact"/>
        <w:ind w:firstLine="355"/>
        <w:rPr>
          <w:rStyle w:val="FontStyle28"/>
        </w:rPr>
      </w:pPr>
      <w:r>
        <w:rPr>
          <w:rStyle w:val="FontStyle28"/>
        </w:rPr>
        <w:t>Všechny osoby, které prošetřují a vyřizují stížnosti, jsou povinny zachovat mlčenlivost o všech skutečnostech zjištěných v průběhu vyřizování stížnosti včetně osobních údajů stěžovatele.</w:t>
      </w:r>
    </w:p>
    <w:p w:rsidR="00682445" w:rsidRDefault="00682445" w:rsidP="00682445">
      <w:pPr>
        <w:pStyle w:val="Style17"/>
        <w:widowControl/>
        <w:spacing w:line="240" w:lineRule="exact"/>
        <w:ind w:left="379" w:firstLine="0"/>
        <w:jc w:val="left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9" w:line="240" w:lineRule="auto"/>
        <w:ind w:left="379" w:firstLine="0"/>
        <w:jc w:val="left"/>
        <w:rPr>
          <w:rStyle w:val="FontStyle28"/>
        </w:rPr>
      </w:pPr>
      <w:r>
        <w:rPr>
          <w:rStyle w:val="FontStyle28"/>
        </w:rPr>
        <w:t>Tato směrnice se použije pro vyřizování všech stížností doručených NTGM.</w:t>
      </w:r>
    </w:p>
    <w:p w:rsidR="00682445" w:rsidRDefault="00682445" w:rsidP="00682445">
      <w:pPr>
        <w:pStyle w:val="Style17"/>
        <w:widowControl/>
        <w:spacing w:line="240" w:lineRule="exact"/>
        <w:ind w:left="374" w:firstLine="0"/>
        <w:jc w:val="left"/>
        <w:rPr>
          <w:sz w:val="20"/>
          <w:szCs w:val="20"/>
        </w:rPr>
      </w:pPr>
    </w:p>
    <w:p w:rsidR="00682445" w:rsidRDefault="00682445" w:rsidP="00682445">
      <w:pPr>
        <w:pStyle w:val="Style17"/>
        <w:widowControl/>
        <w:spacing w:before="10" w:line="240" w:lineRule="auto"/>
        <w:ind w:left="374" w:firstLine="0"/>
        <w:jc w:val="left"/>
        <w:rPr>
          <w:rStyle w:val="FontStyle28"/>
        </w:rPr>
      </w:pPr>
      <w:r>
        <w:rPr>
          <w:rStyle w:val="FontStyle28"/>
        </w:rPr>
        <w:t>Za dodržování této směrnice odpovídají všichni vedoucí zaměstnanci NTGM.</w:t>
      </w:r>
    </w:p>
    <w:p w:rsidR="00EA394B" w:rsidRDefault="00EA394B" w:rsidP="00682445">
      <w:pPr>
        <w:pStyle w:val="Style17"/>
        <w:widowControl/>
        <w:spacing w:before="10" w:line="240" w:lineRule="auto"/>
        <w:ind w:left="374" w:firstLine="0"/>
        <w:jc w:val="left"/>
        <w:rPr>
          <w:rStyle w:val="FontStyle28"/>
        </w:rPr>
      </w:pPr>
    </w:p>
    <w:p w:rsidR="00EA394B" w:rsidRDefault="00EA394B" w:rsidP="00682445">
      <w:pPr>
        <w:pStyle w:val="Style17"/>
        <w:widowControl/>
        <w:spacing w:before="10" w:line="240" w:lineRule="auto"/>
        <w:ind w:left="374" w:firstLine="0"/>
        <w:jc w:val="left"/>
        <w:rPr>
          <w:rStyle w:val="FontStyle28"/>
        </w:rPr>
      </w:pPr>
      <w:r>
        <w:rPr>
          <w:rStyle w:val="FontStyle28"/>
        </w:rPr>
        <w:t>Touto směrnicí ředitele se ruší směrnice ředitele č. 9/2006.</w:t>
      </w:r>
    </w:p>
    <w:p w:rsidR="00682445" w:rsidRDefault="00682445" w:rsidP="00682445">
      <w:pPr>
        <w:pStyle w:val="Style17"/>
        <w:widowControl/>
        <w:spacing w:line="240" w:lineRule="exact"/>
        <w:ind w:left="379" w:firstLine="0"/>
        <w:rPr>
          <w:sz w:val="20"/>
          <w:szCs w:val="20"/>
        </w:rPr>
      </w:pPr>
    </w:p>
    <w:p w:rsidR="001E3A46" w:rsidRDefault="001E3A46" w:rsidP="001E3A4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E3A4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34" w:rsidRDefault="000E2F34" w:rsidP="0056746E">
      <w:r>
        <w:separator/>
      </w:r>
    </w:p>
  </w:endnote>
  <w:endnote w:type="continuationSeparator" w:id="0">
    <w:p w:rsidR="000E2F34" w:rsidRDefault="000E2F34" w:rsidP="0056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98055"/>
      <w:docPartObj>
        <w:docPartGallery w:val="Page Numbers (Bottom of Page)"/>
        <w:docPartUnique/>
      </w:docPartObj>
    </w:sdtPr>
    <w:sdtEndPr/>
    <w:sdtContent>
      <w:p w:rsidR="0056746E" w:rsidRDefault="0056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A04">
          <w:rPr>
            <w:noProof/>
          </w:rPr>
          <w:t>1</w:t>
        </w:r>
        <w:r>
          <w:fldChar w:fldCharType="end"/>
        </w:r>
      </w:p>
    </w:sdtContent>
  </w:sdt>
  <w:p w:rsidR="0056746E" w:rsidRDefault="005674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34" w:rsidRDefault="000E2F34" w:rsidP="0056746E">
      <w:r>
        <w:separator/>
      </w:r>
    </w:p>
  </w:footnote>
  <w:footnote w:type="continuationSeparator" w:id="0">
    <w:p w:rsidR="000E2F34" w:rsidRDefault="000E2F34" w:rsidP="0056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FAFAFE"/>
    <w:lvl w:ilvl="0">
      <w:numFmt w:val="bullet"/>
      <w:lvlText w:val="*"/>
      <w:lvlJc w:val="left"/>
    </w:lvl>
  </w:abstractNum>
  <w:abstractNum w:abstractNumId="1">
    <w:nsid w:val="02E00B93"/>
    <w:multiLevelType w:val="hybridMultilevel"/>
    <w:tmpl w:val="62305D1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ECA01D4"/>
    <w:multiLevelType w:val="hybridMultilevel"/>
    <w:tmpl w:val="D8AA84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BDD290FA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E2B8309E">
      <w:start w:val="1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66CED"/>
    <w:multiLevelType w:val="hybridMultilevel"/>
    <w:tmpl w:val="3F923ABC"/>
    <w:lvl w:ilvl="0" w:tplc="AC9A04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1B7258"/>
    <w:multiLevelType w:val="hybridMultilevel"/>
    <w:tmpl w:val="692C17EE"/>
    <w:lvl w:ilvl="0" w:tplc="512C5E3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944448"/>
    <w:multiLevelType w:val="hybridMultilevel"/>
    <w:tmpl w:val="3F54FB78"/>
    <w:lvl w:ilvl="0" w:tplc="BC2C82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B0F5E"/>
    <w:multiLevelType w:val="hybridMultilevel"/>
    <w:tmpl w:val="6EC4B3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A71E86"/>
    <w:multiLevelType w:val="hybridMultilevel"/>
    <w:tmpl w:val="BFA261B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307F6"/>
    <w:multiLevelType w:val="hybridMultilevel"/>
    <w:tmpl w:val="341A50DE"/>
    <w:lvl w:ilvl="0" w:tplc="C0B8E9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D87322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9331313"/>
    <w:multiLevelType w:val="hybridMultilevel"/>
    <w:tmpl w:val="3B7C8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A0C6A"/>
    <w:multiLevelType w:val="hybridMultilevel"/>
    <w:tmpl w:val="EDEC403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4B8B5671"/>
    <w:multiLevelType w:val="hybridMultilevel"/>
    <w:tmpl w:val="F604BC08"/>
    <w:lvl w:ilvl="0" w:tplc="66AEB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77039D"/>
    <w:multiLevelType w:val="hybridMultilevel"/>
    <w:tmpl w:val="05BA18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51487"/>
    <w:multiLevelType w:val="hybridMultilevel"/>
    <w:tmpl w:val="6EB22EAA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8ABDE">
      <w:start w:val="4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Times New Roman" w:eastAsia="Times New Roman" w:hAnsi="Times New Roman" w:cs="Times New Roman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494BC2"/>
    <w:multiLevelType w:val="hybridMultilevel"/>
    <w:tmpl w:val="09F435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D5481B"/>
    <w:multiLevelType w:val="hybridMultilevel"/>
    <w:tmpl w:val="ED4AC652"/>
    <w:lvl w:ilvl="0" w:tplc="66AEB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1A6476"/>
    <w:multiLevelType w:val="hybridMultilevel"/>
    <w:tmpl w:val="CF9058E4"/>
    <w:lvl w:ilvl="0" w:tplc="748CB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86190D"/>
    <w:multiLevelType w:val="hybridMultilevel"/>
    <w:tmpl w:val="86B8E924"/>
    <w:lvl w:ilvl="0" w:tplc="66AEB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B0EE4"/>
    <w:multiLevelType w:val="hybridMultilevel"/>
    <w:tmpl w:val="F2C2C2C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B14E42"/>
    <w:multiLevelType w:val="hybridMultilevel"/>
    <w:tmpl w:val="049AC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9"/>
  </w:num>
  <w:num w:numId="8">
    <w:abstractNumId w:val="6"/>
  </w:num>
  <w:num w:numId="9">
    <w:abstractNumId w:val="15"/>
  </w:num>
  <w:num w:numId="10">
    <w:abstractNumId w:val="16"/>
  </w:num>
  <w:num w:numId="11">
    <w:abstractNumId w:val="12"/>
  </w:num>
  <w:num w:numId="12">
    <w:abstractNumId w:val="18"/>
  </w:num>
  <w:num w:numId="13">
    <w:abstractNumId w:val="5"/>
  </w:num>
  <w:num w:numId="14">
    <w:abstractNumId w:val="17"/>
  </w:num>
  <w:num w:numId="15">
    <w:abstractNumId w:val="3"/>
  </w:num>
  <w:num w:numId="16">
    <w:abstractNumId w:val="11"/>
  </w:num>
  <w:num w:numId="17">
    <w:abstractNumId w:val="1"/>
  </w:num>
  <w:num w:numId="18">
    <w:abstractNumId w:val="10"/>
  </w:num>
  <w:num w:numId="19">
    <w:abstractNumId w:val="7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D"/>
    <w:rsid w:val="000017DA"/>
    <w:rsid w:val="000C72AE"/>
    <w:rsid w:val="000E2F34"/>
    <w:rsid w:val="0012252E"/>
    <w:rsid w:val="00166EE5"/>
    <w:rsid w:val="00175474"/>
    <w:rsid w:val="0018164F"/>
    <w:rsid w:val="001C35AF"/>
    <w:rsid w:val="001E3A46"/>
    <w:rsid w:val="001F1BB8"/>
    <w:rsid w:val="004128C9"/>
    <w:rsid w:val="00430EEE"/>
    <w:rsid w:val="004706D8"/>
    <w:rsid w:val="00503FE5"/>
    <w:rsid w:val="005609B3"/>
    <w:rsid w:val="0056746E"/>
    <w:rsid w:val="00682445"/>
    <w:rsid w:val="006936BF"/>
    <w:rsid w:val="006C5992"/>
    <w:rsid w:val="00756BA9"/>
    <w:rsid w:val="007A363D"/>
    <w:rsid w:val="007B2A46"/>
    <w:rsid w:val="008447E1"/>
    <w:rsid w:val="00862B7C"/>
    <w:rsid w:val="008F5836"/>
    <w:rsid w:val="009717DF"/>
    <w:rsid w:val="00995533"/>
    <w:rsid w:val="009A5488"/>
    <w:rsid w:val="009D7A86"/>
    <w:rsid w:val="00B52BF0"/>
    <w:rsid w:val="00BB7680"/>
    <w:rsid w:val="00BF0332"/>
    <w:rsid w:val="00C00FF9"/>
    <w:rsid w:val="00C179B4"/>
    <w:rsid w:val="00C60622"/>
    <w:rsid w:val="00C63921"/>
    <w:rsid w:val="00C83EF9"/>
    <w:rsid w:val="00CE5A24"/>
    <w:rsid w:val="00D35CB1"/>
    <w:rsid w:val="00D444F0"/>
    <w:rsid w:val="00D97095"/>
    <w:rsid w:val="00DF336C"/>
    <w:rsid w:val="00E17B09"/>
    <w:rsid w:val="00E263DD"/>
    <w:rsid w:val="00E91556"/>
    <w:rsid w:val="00EA394B"/>
    <w:rsid w:val="00EF02E0"/>
    <w:rsid w:val="00EF502D"/>
    <w:rsid w:val="00F07C52"/>
    <w:rsid w:val="00F26A7F"/>
    <w:rsid w:val="00F356D2"/>
    <w:rsid w:val="00F42A04"/>
    <w:rsid w:val="00F92085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63DD"/>
    <w:pPr>
      <w:keepNext/>
      <w:numPr>
        <w:numId w:val="7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263D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263D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263D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263D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263D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263DD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263D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263D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63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263D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263D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263D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263D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263D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263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263D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63DD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EF50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7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A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A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14">
    <w:name w:val="Style14"/>
    <w:basedOn w:val="Normln"/>
    <w:rsid w:val="0068244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ln"/>
    <w:rsid w:val="00682445"/>
    <w:pPr>
      <w:widowControl w:val="0"/>
      <w:autoSpaceDE w:val="0"/>
      <w:autoSpaceDN w:val="0"/>
      <w:adjustRightInd w:val="0"/>
      <w:spacing w:line="251" w:lineRule="exact"/>
      <w:ind w:firstLine="701"/>
      <w:jc w:val="both"/>
    </w:pPr>
  </w:style>
  <w:style w:type="paragraph" w:customStyle="1" w:styleId="Style16">
    <w:name w:val="Style16"/>
    <w:basedOn w:val="Normln"/>
    <w:rsid w:val="00682445"/>
    <w:pPr>
      <w:widowControl w:val="0"/>
      <w:autoSpaceDE w:val="0"/>
      <w:autoSpaceDN w:val="0"/>
      <w:adjustRightInd w:val="0"/>
      <w:spacing w:line="254" w:lineRule="exact"/>
      <w:ind w:hanging="350"/>
    </w:pPr>
  </w:style>
  <w:style w:type="paragraph" w:customStyle="1" w:styleId="Style17">
    <w:name w:val="Style17"/>
    <w:basedOn w:val="Normln"/>
    <w:rsid w:val="00682445"/>
    <w:pPr>
      <w:widowControl w:val="0"/>
      <w:autoSpaceDE w:val="0"/>
      <w:autoSpaceDN w:val="0"/>
      <w:adjustRightInd w:val="0"/>
      <w:spacing w:line="252" w:lineRule="exact"/>
      <w:ind w:firstLine="365"/>
      <w:jc w:val="both"/>
    </w:pPr>
  </w:style>
  <w:style w:type="paragraph" w:customStyle="1" w:styleId="Style18">
    <w:name w:val="Style18"/>
    <w:basedOn w:val="Normln"/>
    <w:rsid w:val="0068244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ln"/>
    <w:rsid w:val="00682445"/>
    <w:pPr>
      <w:widowControl w:val="0"/>
      <w:autoSpaceDE w:val="0"/>
      <w:autoSpaceDN w:val="0"/>
      <w:adjustRightInd w:val="0"/>
      <w:spacing w:line="254" w:lineRule="exact"/>
      <w:ind w:firstLine="365"/>
      <w:jc w:val="both"/>
    </w:pPr>
  </w:style>
  <w:style w:type="character" w:customStyle="1" w:styleId="FontStyle27">
    <w:name w:val="Font Style27"/>
    <w:basedOn w:val="Standardnpsmoodstavce"/>
    <w:rsid w:val="006824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Standardnpsmoodstavce"/>
    <w:rsid w:val="0068244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63DD"/>
    <w:pPr>
      <w:keepNext/>
      <w:numPr>
        <w:numId w:val="7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263D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263D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263D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263D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263D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263DD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263D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263D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63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263D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263D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263D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263D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263D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263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263D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63DD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EF50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7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A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A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14">
    <w:name w:val="Style14"/>
    <w:basedOn w:val="Normln"/>
    <w:rsid w:val="0068244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ln"/>
    <w:rsid w:val="00682445"/>
    <w:pPr>
      <w:widowControl w:val="0"/>
      <w:autoSpaceDE w:val="0"/>
      <w:autoSpaceDN w:val="0"/>
      <w:adjustRightInd w:val="0"/>
      <w:spacing w:line="251" w:lineRule="exact"/>
      <w:ind w:firstLine="701"/>
      <w:jc w:val="both"/>
    </w:pPr>
  </w:style>
  <w:style w:type="paragraph" w:customStyle="1" w:styleId="Style16">
    <w:name w:val="Style16"/>
    <w:basedOn w:val="Normln"/>
    <w:rsid w:val="00682445"/>
    <w:pPr>
      <w:widowControl w:val="0"/>
      <w:autoSpaceDE w:val="0"/>
      <w:autoSpaceDN w:val="0"/>
      <w:adjustRightInd w:val="0"/>
      <w:spacing w:line="254" w:lineRule="exact"/>
      <w:ind w:hanging="350"/>
    </w:pPr>
  </w:style>
  <w:style w:type="paragraph" w:customStyle="1" w:styleId="Style17">
    <w:name w:val="Style17"/>
    <w:basedOn w:val="Normln"/>
    <w:rsid w:val="00682445"/>
    <w:pPr>
      <w:widowControl w:val="0"/>
      <w:autoSpaceDE w:val="0"/>
      <w:autoSpaceDN w:val="0"/>
      <w:adjustRightInd w:val="0"/>
      <w:spacing w:line="252" w:lineRule="exact"/>
      <w:ind w:firstLine="365"/>
      <w:jc w:val="both"/>
    </w:pPr>
  </w:style>
  <w:style w:type="paragraph" w:customStyle="1" w:styleId="Style18">
    <w:name w:val="Style18"/>
    <w:basedOn w:val="Normln"/>
    <w:rsid w:val="0068244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ln"/>
    <w:rsid w:val="00682445"/>
    <w:pPr>
      <w:widowControl w:val="0"/>
      <w:autoSpaceDE w:val="0"/>
      <w:autoSpaceDN w:val="0"/>
      <w:adjustRightInd w:val="0"/>
      <w:spacing w:line="254" w:lineRule="exact"/>
      <w:ind w:firstLine="365"/>
      <w:jc w:val="both"/>
    </w:pPr>
  </w:style>
  <w:style w:type="character" w:customStyle="1" w:styleId="FontStyle27">
    <w:name w:val="Font Style27"/>
    <w:basedOn w:val="Standardnpsmoodstavce"/>
    <w:rsid w:val="006824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Standardnpsmoodstavce"/>
    <w:rsid w:val="006824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1322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2014-03-05T12:53:00Z</cp:lastPrinted>
  <dcterms:created xsi:type="dcterms:W3CDTF">2014-04-23T12:04:00Z</dcterms:created>
  <dcterms:modified xsi:type="dcterms:W3CDTF">2014-04-23T12:26:00Z</dcterms:modified>
</cp:coreProperties>
</file>